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37059" w14:textId="77777777" w:rsidR="00B2067C" w:rsidRDefault="00000000">
      <w:pPr>
        <w:pStyle w:val="1"/>
        <w:spacing w:line="360" w:lineRule="auto"/>
        <w:ind w:left="142" w:right="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国家标准《</w:t>
      </w:r>
      <w:r>
        <w:rPr>
          <w:rFonts w:ascii="Times New Roman" w:hAnsi="Times New Roman" w:cs="Times New Roman" w:hint="eastAsia"/>
        </w:rPr>
        <w:t>表面活性剂和洗涤剂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>在碱性条件下可水解的阴离子活性物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>可水解和不可水解阴离子活性物的测定</w:t>
      </w:r>
      <w:r>
        <w:rPr>
          <w:rFonts w:ascii="Times New Roman" w:hAnsi="Times New Roman" w:cs="Times New Roman"/>
        </w:rPr>
        <w:t>》编制说明</w:t>
      </w:r>
    </w:p>
    <w:p w14:paraId="0FD9F1EF" w14:textId="77777777" w:rsidR="00B2067C" w:rsidRDefault="00000000">
      <w:pPr>
        <w:spacing w:before="214" w:line="360" w:lineRule="auto"/>
        <w:ind w:left="142" w:right="47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（</w:t>
      </w:r>
      <w:r>
        <w:rPr>
          <w:rFonts w:ascii="Times New Roman" w:hAnsi="Times New Roman" w:cs="Times New Roman" w:hint="eastAsia"/>
          <w:b/>
          <w:sz w:val="32"/>
        </w:rPr>
        <w:t>征求意见</w:t>
      </w:r>
      <w:r>
        <w:rPr>
          <w:rFonts w:ascii="Times New Roman" w:hAnsi="Times New Roman" w:cs="Times New Roman"/>
          <w:b/>
          <w:sz w:val="32"/>
        </w:rPr>
        <w:t>稿）</w:t>
      </w:r>
    </w:p>
    <w:p w14:paraId="37230B02" w14:textId="77777777" w:rsidR="00B2067C" w:rsidRDefault="00000000">
      <w:pPr>
        <w:pStyle w:val="2"/>
        <w:spacing w:before="72"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一、工作概况</w:t>
      </w:r>
    </w:p>
    <w:p w14:paraId="566A1382" w14:textId="77777777" w:rsidR="00B2067C" w:rsidRDefault="00000000">
      <w:pPr>
        <w:spacing w:before="1"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sz w:val="21"/>
        </w:rPr>
        <w:t>1</w:t>
      </w:r>
      <w:r>
        <w:rPr>
          <w:rFonts w:ascii="Times New Roman" w:hAnsi="Times New Roman" w:cs="Times New Roman"/>
          <w:sz w:val="21"/>
        </w:rPr>
        <w:t>、</w:t>
      </w:r>
      <w:r>
        <w:rPr>
          <w:rFonts w:ascii="Times New Roman" w:hAnsi="Times New Roman" w:cs="Times New Roman"/>
          <w:b/>
          <w:sz w:val="21"/>
        </w:rPr>
        <w:t>任务来源</w:t>
      </w:r>
    </w:p>
    <w:p w14:paraId="3E7B3C84" w14:textId="77777777" w:rsidR="00B2067C" w:rsidRDefault="00000000">
      <w:pPr>
        <w:pStyle w:val="a3"/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根据国标委下达的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Theme="minorEastAsia" w:hAnsi="Times New Roman" w:cs="Times New Roman"/>
        </w:rPr>
        <w:t>24</w:t>
      </w:r>
      <w:r>
        <w:rPr>
          <w:rFonts w:ascii="Times New Roman" w:hAnsi="Times New Roman" w:cs="Times New Roman"/>
        </w:rPr>
        <w:t>年国家标准制修订计划，要求对《</w:t>
      </w:r>
      <w:r>
        <w:rPr>
          <w:rFonts w:ascii="Times New Roman" w:hint="eastAsia"/>
        </w:rPr>
        <w:t>表面活性剂和洗涤剂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在碱性条件下可水解的阴离子活性物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可水解和不可水解阴离子活性物的测定</w:t>
      </w:r>
      <w:r>
        <w:rPr>
          <w:rFonts w:ascii="Times New Roman" w:hAnsi="Times New Roman" w:cs="Times New Roman"/>
        </w:rPr>
        <w:t>》国家标准﹙项目编号</w:t>
      </w:r>
      <w:r>
        <w:rPr>
          <w:rFonts w:ascii="Times New Roman" w:eastAsia="Times New Roman" w:hAnsi="Times New Roman" w:cs="Times New Roman" w:hint="eastAsia"/>
          <w:lang w:val="en-US"/>
        </w:rPr>
        <w:t>20242598-T-607</w:t>
      </w:r>
      <w:r>
        <w:rPr>
          <w:rFonts w:ascii="Times New Roman" w:hAnsi="Times New Roman" w:cs="Times New Roman"/>
        </w:rPr>
        <w:t>﹚进行修订。</w:t>
      </w:r>
    </w:p>
    <w:p w14:paraId="18CD6913" w14:textId="77777777" w:rsidR="00B2067C" w:rsidRDefault="00000000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sz w:val="21"/>
        </w:rPr>
        <w:t>2</w:t>
      </w:r>
      <w:r>
        <w:rPr>
          <w:rFonts w:ascii="Times New Roman" w:hAnsi="Times New Roman" w:cs="Times New Roman"/>
          <w:sz w:val="21"/>
        </w:rPr>
        <w:t>、</w:t>
      </w:r>
      <w:r>
        <w:rPr>
          <w:rFonts w:ascii="Times New Roman" w:hAnsi="Times New Roman" w:cs="Times New Roman"/>
          <w:b/>
          <w:sz w:val="21"/>
        </w:rPr>
        <w:t>主要工作过程</w:t>
      </w:r>
    </w:p>
    <w:p w14:paraId="1B44BE91" w14:textId="77777777" w:rsidR="00B2067C" w:rsidRDefault="00000000">
      <w:pPr>
        <w:spacing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起草阶段：针对《</w:t>
      </w:r>
      <w:r>
        <w:rPr>
          <w:rFonts w:ascii="Times New Roman" w:hint="eastAsia"/>
          <w:sz w:val="21"/>
          <w:szCs w:val="21"/>
        </w:rPr>
        <w:t>表面活性剂和洗涤剂</w:t>
      </w:r>
      <w:r>
        <w:rPr>
          <w:rFonts w:ascii="Times New Roman" w:hint="eastAsia"/>
          <w:sz w:val="21"/>
          <w:szCs w:val="21"/>
        </w:rPr>
        <w:t xml:space="preserve">  </w:t>
      </w:r>
      <w:r>
        <w:rPr>
          <w:rFonts w:ascii="Times New Roman" w:hint="eastAsia"/>
          <w:sz w:val="21"/>
          <w:szCs w:val="21"/>
        </w:rPr>
        <w:t>在碱性条件下可水解的阴离子活性物</w:t>
      </w:r>
      <w:r>
        <w:rPr>
          <w:rFonts w:ascii="Times New Roman" w:hint="eastAsia"/>
          <w:sz w:val="21"/>
          <w:szCs w:val="21"/>
        </w:rPr>
        <w:t xml:space="preserve">  </w:t>
      </w:r>
      <w:r>
        <w:rPr>
          <w:rFonts w:ascii="Times New Roman" w:hint="eastAsia"/>
          <w:sz w:val="21"/>
          <w:szCs w:val="21"/>
        </w:rPr>
        <w:t>可水解和不可水解阴离子活性物的测定</w:t>
      </w:r>
      <w:r>
        <w:rPr>
          <w:rFonts w:ascii="Times New Roman" w:hAnsi="Times New Roman" w:cs="Times New Roman"/>
          <w:sz w:val="21"/>
          <w:szCs w:val="21"/>
        </w:rPr>
        <w:t>》标准的修订工作，</w:t>
      </w:r>
      <w:r>
        <w:rPr>
          <w:rFonts w:hint="eastAsia"/>
          <w:sz w:val="21"/>
          <w:szCs w:val="21"/>
        </w:rPr>
        <w:t>标委会秘书处组织参加起草单位成立标准制定工作组</w:t>
      </w:r>
      <w:r>
        <w:rPr>
          <w:rFonts w:ascii="Times New Roman" w:hAnsi="Times New Roman" w:cs="Times New Roman"/>
          <w:spacing w:val="-4"/>
          <w:sz w:val="21"/>
          <w:szCs w:val="21"/>
        </w:rPr>
        <w:t>，</w:t>
      </w:r>
      <w:r>
        <w:rPr>
          <w:rFonts w:ascii="Times New Roman" w:hAnsi="Times New Roman" w:cs="Times New Roman"/>
          <w:spacing w:val="-5"/>
          <w:sz w:val="21"/>
          <w:szCs w:val="21"/>
        </w:rPr>
        <w:t>对国内相关产品和技术的现状与发展情况进行调研，同时搜集和检索国内产品技术资</w:t>
      </w:r>
      <w:r>
        <w:rPr>
          <w:rFonts w:ascii="Times New Roman" w:hAnsi="Times New Roman" w:cs="Times New Roman"/>
          <w:spacing w:val="-4"/>
          <w:sz w:val="21"/>
          <w:szCs w:val="21"/>
        </w:rPr>
        <w:t>料，进行研究分析、资料查证等工作，在此基础上起草了征求意见稿</w:t>
      </w:r>
      <w:r>
        <w:rPr>
          <w:rFonts w:ascii="Times New Roman" w:hAnsi="Times New Roman" w:cs="Times New Roman" w:hint="eastAsia"/>
          <w:spacing w:val="-4"/>
          <w:sz w:val="21"/>
          <w:szCs w:val="21"/>
        </w:rPr>
        <w:t>，</w:t>
      </w:r>
      <w:r>
        <w:rPr>
          <w:rFonts w:hint="eastAsia"/>
          <w:sz w:val="21"/>
          <w:szCs w:val="21"/>
        </w:rPr>
        <w:t>报标委会秘书处。</w:t>
      </w:r>
    </w:p>
    <w:p w14:paraId="09FB36D7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二、标准编制原则和主要内容</w:t>
      </w:r>
    </w:p>
    <w:p w14:paraId="05737E56" w14:textId="77777777" w:rsidR="00B2067C" w:rsidRDefault="00000000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Times New Roman" w:hAnsi="Times New Roman" w:cs="Times New Roman"/>
          <w:b/>
          <w:sz w:val="21"/>
        </w:rPr>
        <w:t>、标准修订理由和编制原则</w:t>
      </w:r>
    </w:p>
    <w:p w14:paraId="3AC26237" w14:textId="77777777" w:rsidR="00B2067C" w:rsidRDefault="00000000">
      <w:pPr>
        <w:pStyle w:val="a3"/>
        <w:spacing w:line="360" w:lineRule="auto"/>
        <w:ind w:left="142" w:right="45" w:firstLineChars="20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本标准作为表面活性剂基础通用类方法标准，自发布实施以来，对该类表面活性剂的检测起到积极有效的作用。由于本标准的部分规范性引用文件已修订更新，按照</w:t>
      </w:r>
      <w:r>
        <w:rPr>
          <w:rFonts w:ascii="Times New Roman" w:hAnsi="Times New Roman" w:cs="Times New Roman" w:hint="eastAsia"/>
        </w:rPr>
        <w:t>2022</w:t>
      </w:r>
      <w:r>
        <w:rPr>
          <w:rFonts w:ascii="Times New Roman" w:hAnsi="Times New Roman" w:cs="Times New Roman" w:hint="eastAsia"/>
        </w:rPr>
        <w:t>年推荐性国家标准复审工作要求，提出本标准的修订计划。</w:t>
      </w:r>
      <w:r>
        <w:rPr>
          <w:rFonts w:ascii="Times New Roman" w:hAnsi="Times New Roman" w:cs="Times New Roman"/>
        </w:rPr>
        <w:t xml:space="preserve"> </w:t>
      </w:r>
    </w:p>
    <w:p w14:paraId="4E3EBB07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hAnsi="Times New Roman" w:cs="Times New Roman"/>
        </w:rPr>
        <w:t>、主要内容</w:t>
      </w:r>
    </w:p>
    <w:p w14:paraId="5799CB0A" w14:textId="77777777" w:rsidR="00B2067C" w:rsidRDefault="00000000">
      <w:pPr>
        <w:pStyle w:val="a3"/>
        <w:spacing w:line="360" w:lineRule="auto"/>
        <w:ind w:left="142" w:right="45" w:firstLineChars="202" w:firstLine="424"/>
        <w:jc w:val="both"/>
        <w:rPr>
          <w:rFonts w:hint="eastAsia"/>
        </w:rPr>
      </w:pPr>
      <w:r>
        <w:rPr>
          <w:rFonts w:hint="eastAsia"/>
        </w:rPr>
        <w:t>新标准与GB/T</w:t>
      </w:r>
      <w:r>
        <w:rPr>
          <w:rFonts w:hint="eastAsia"/>
          <w:lang w:val="en-US"/>
        </w:rPr>
        <w:t xml:space="preserve"> 20198</w:t>
      </w:r>
      <w:r>
        <w:rPr>
          <w:rFonts w:hint="eastAsia"/>
        </w:rPr>
        <w:t>—</w:t>
      </w:r>
      <w:r>
        <w:rPr>
          <w:rFonts w:hint="eastAsia"/>
          <w:lang w:val="en-US"/>
        </w:rPr>
        <w:t>2006</w:t>
      </w:r>
      <w:r>
        <w:rPr>
          <w:rFonts w:hint="eastAsia"/>
        </w:rPr>
        <w:t>相比，除编辑性修改外，主要技术变化如下：</w:t>
      </w:r>
    </w:p>
    <w:p w14:paraId="420F341F" w14:textId="77777777" w:rsidR="00B2067C" w:rsidRDefault="00000000">
      <w:pPr>
        <w:pStyle w:val="a3"/>
        <w:spacing w:before="1" w:line="360" w:lineRule="auto"/>
        <w:ind w:left="142" w:right="45" w:firstLineChars="202" w:firstLine="424"/>
        <w:jc w:val="both"/>
        <w:rPr>
          <w:rFonts w:hint="eastAsia"/>
        </w:rPr>
      </w:pPr>
      <w:r>
        <w:rPr>
          <w:rFonts w:hint="eastAsia"/>
        </w:rPr>
        <w:t>——修改了规范性引用文件；</w:t>
      </w:r>
    </w:p>
    <w:p w14:paraId="5C4F5BE8" w14:textId="77777777" w:rsidR="00B2067C" w:rsidRDefault="00000000">
      <w:pPr>
        <w:pStyle w:val="a3"/>
        <w:spacing w:before="1" w:line="360" w:lineRule="auto"/>
        <w:ind w:left="142" w:right="45" w:firstLineChars="202" w:firstLine="424"/>
        <w:jc w:val="both"/>
        <w:rPr>
          <w:rFonts w:hint="eastAsia"/>
        </w:rPr>
      </w:pPr>
      <w:r>
        <w:rPr>
          <w:rFonts w:hint="eastAsia"/>
        </w:rPr>
        <w:t>——增设了第3章。</w:t>
      </w:r>
    </w:p>
    <w:p w14:paraId="6B85BA88" w14:textId="77777777" w:rsidR="00B2067C" w:rsidRDefault="00000000">
      <w:pPr>
        <w:pStyle w:val="a3"/>
        <w:spacing w:before="1" w:line="360" w:lineRule="auto"/>
        <w:ind w:left="142" w:right="4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三、主要试验（或验证）情况</w:t>
      </w:r>
      <w:r>
        <w:rPr>
          <w:rFonts w:ascii="Times New Roman" w:hAnsi="Times New Roman" w:cs="Times New Roman"/>
          <w:b/>
          <w:w w:val="99"/>
        </w:rPr>
        <w:t xml:space="preserve"> </w:t>
      </w:r>
    </w:p>
    <w:p w14:paraId="0451D8CA" w14:textId="77777777" w:rsidR="00B2067C" w:rsidRDefault="00000000">
      <w:pPr>
        <w:pStyle w:val="a3"/>
        <w:spacing w:line="360" w:lineRule="auto"/>
        <w:ind w:left="142" w:right="47" w:firstLineChars="200" w:firstLine="412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4"/>
        </w:rPr>
        <w:t>本次修订保留了原标准的检测方法，并进一步对</w:t>
      </w:r>
      <w:r>
        <w:rPr>
          <w:rFonts w:ascii="Times New Roman" w:hAnsi="Times New Roman" w:cs="Times New Roman" w:hint="eastAsia"/>
          <w:spacing w:val="-4"/>
        </w:rPr>
        <w:t>该</w:t>
      </w:r>
      <w:r>
        <w:rPr>
          <w:rFonts w:ascii="Times New Roman" w:hAnsi="Times New Roman" w:cs="Times New Roman"/>
          <w:spacing w:val="-4"/>
        </w:rPr>
        <w:t>方法进行了</w:t>
      </w:r>
      <w:r>
        <w:rPr>
          <w:rFonts w:ascii="Times New Roman" w:hAnsi="Times New Roman" w:cs="Times New Roman"/>
          <w:spacing w:val="-3"/>
        </w:rPr>
        <w:t>验证。</w:t>
      </w:r>
    </w:p>
    <w:p w14:paraId="52F667B7" w14:textId="77777777" w:rsidR="00B2067C" w:rsidRDefault="00000000">
      <w:pPr>
        <w:pStyle w:val="a3"/>
        <w:spacing w:line="360" w:lineRule="auto"/>
        <w:ind w:right="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表</w:t>
      </w:r>
      <w:r>
        <w:rPr>
          <w:rFonts w:ascii="Times New Roman" w:hAnsi="Times New Roman" w:cs="Times New Roman" w:hint="eastAsia"/>
        </w:rPr>
        <w:t xml:space="preserve">1 </w:t>
      </w:r>
      <w:r>
        <w:rPr>
          <w:rFonts w:ascii="Times New Roman" w:hAnsi="Times New Roman" w:cs="Times New Roman" w:hint="eastAsia"/>
          <w:lang w:val="en-US"/>
        </w:rPr>
        <w:t>可水解阴离子活性物含量</w:t>
      </w:r>
      <w:r>
        <w:rPr>
          <w:rFonts w:ascii="Times New Roman" w:hAnsi="Times New Roman" w:cs="Times New Roman" w:hint="eastAsia"/>
        </w:rPr>
        <w:t>测定数据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92"/>
        <w:gridCol w:w="1956"/>
        <w:gridCol w:w="1941"/>
        <w:gridCol w:w="1795"/>
      </w:tblGrid>
      <w:tr w:rsidR="00B2067C" w14:paraId="37301E17" w14:textId="77777777">
        <w:trPr>
          <w:jc w:val="center"/>
        </w:trPr>
        <w:tc>
          <w:tcPr>
            <w:tcW w:w="2292" w:type="dxa"/>
          </w:tcPr>
          <w:p w14:paraId="51F5C95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样品</w:t>
            </w:r>
          </w:p>
        </w:tc>
        <w:tc>
          <w:tcPr>
            <w:tcW w:w="1956" w:type="dxa"/>
          </w:tcPr>
          <w:p w14:paraId="5D3B1EF2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测试结果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941" w:type="dxa"/>
          </w:tcPr>
          <w:p w14:paraId="401F1729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测试结果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795" w:type="dxa"/>
          </w:tcPr>
          <w:p w14:paraId="03C8534B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平均值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</w:tr>
      <w:tr w:rsidR="00B2067C" w14:paraId="68FFFE52" w14:textId="77777777">
        <w:trPr>
          <w:jc w:val="center"/>
        </w:trPr>
        <w:tc>
          <w:tcPr>
            <w:tcW w:w="2292" w:type="dxa"/>
          </w:tcPr>
          <w:p w14:paraId="4BFF3AE3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洗衣粉</w:t>
            </w:r>
          </w:p>
        </w:tc>
        <w:tc>
          <w:tcPr>
            <w:tcW w:w="1956" w:type="dxa"/>
          </w:tcPr>
          <w:p w14:paraId="1982EAD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41" w:type="dxa"/>
          </w:tcPr>
          <w:p w14:paraId="4E77DB73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5" w:type="dxa"/>
          </w:tcPr>
          <w:p w14:paraId="672A9E18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  <w:tr w:rsidR="00B2067C" w14:paraId="7EC62E4F" w14:textId="77777777">
        <w:trPr>
          <w:jc w:val="center"/>
        </w:trPr>
        <w:tc>
          <w:tcPr>
            <w:tcW w:w="2292" w:type="dxa"/>
          </w:tcPr>
          <w:p w14:paraId="3FCC767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α-烯基磺酸钠（1）</w:t>
            </w:r>
          </w:p>
        </w:tc>
        <w:tc>
          <w:tcPr>
            <w:tcW w:w="1956" w:type="dxa"/>
          </w:tcPr>
          <w:p w14:paraId="21E8A10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41" w:type="dxa"/>
          </w:tcPr>
          <w:p w14:paraId="7477149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5" w:type="dxa"/>
          </w:tcPr>
          <w:p w14:paraId="175DA66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  <w:tr w:rsidR="00B2067C" w14:paraId="1220F8E6" w14:textId="77777777">
        <w:trPr>
          <w:jc w:val="center"/>
        </w:trPr>
        <w:tc>
          <w:tcPr>
            <w:tcW w:w="2292" w:type="dxa"/>
          </w:tcPr>
          <w:p w14:paraId="13EB8BEE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/>
              </w:rPr>
              <w:t>α-烯基磺酸钠（2）</w:t>
            </w:r>
          </w:p>
        </w:tc>
        <w:tc>
          <w:tcPr>
            <w:tcW w:w="1956" w:type="dxa"/>
          </w:tcPr>
          <w:p w14:paraId="4E63ED6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41" w:type="dxa"/>
          </w:tcPr>
          <w:p w14:paraId="6A981868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5" w:type="dxa"/>
          </w:tcPr>
          <w:p w14:paraId="67ED354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  <w:tr w:rsidR="00B2067C" w14:paraId="4C88B2E2" w14:textId="77777777">
        <w:trPr>
          <w:jc w:val="center"/>
        </w:trPr>
        <w:tc>
          <w:tcPr>
            <w:tcW w:w="2292" w:type="dxa"/>
          </w:tcPr>
          <w:p w14:paraId="15F953D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乙氧基化烷基硫酸钠</w:t>
            </w:r>
          </w:p>
        </w:tc>
        <w:tc>
          <w:tcPr>
            <w:tcW w:w="1956" w:type="dxa"/>
          </w:tcPr>
          <w:p w14:paraId="19113E9D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41" w:type="dxa"/>
          </w:tcPr>
          <w:p w14:paraId="459BBDAA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5" w:type="dxa"/>
          </w:tcPr>
          <w:p w14:paraId="02C7F82E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  <w:tr w:rsidR="00B2067C" w14:paraId="2CCFE853" w14:textId="77777777">
        <w:trPr>
          <w:jc w:val="center"/>
        </w:trPr>
        <w:tc>
          <w:tcPr>
            <w:tcW w:w="2292" w:type="dxa"/>
          </w:tcPr>
          <w:p w14:paraId="33436E75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脂肪酸甲酯磺酸钠</w:t>
            </w:r>
          </w:p>
        </w:tc>
        <w:tc>
          <w:tcPr>
            <w:tcW w:w="1956" w:type="dxa"/>
          </w:tcPr>
          <w:p w14:paraId="3CF14DA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35.6</w:t>
            </w:r>
          </w:p>
        </w:tc>
        <w:tc>
          <w:tcPr>
            <w:tcW w:w="1941" w:type="dxa"/>
          </w:tcPr>
          <w:p w14:paraId="103BEC23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35.7</w:t>
            </w:r>
          </w:p>
        </w:tc>
        <w:tc>
          <w:tcPr>
            <w:tcW w:w="1795" w:type="dxa"/>
          </w:tcPr>
          <w:p w14:paraId="65DEBB9A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35.6</w:t>
            </w:r>
          </w:p>
        </w:tc>
      </w:tr>
      <w:tr w:rsidR="00B2067C" w14:paraId="2716F67F" w14:textId="77777777">
        <w:trPr>
          <w:jc w:val="center"/>
        </w:trPr>
        <w:tc>
          <w:tcPr>
            <w:tcW w:w="2292" w:type="dxa"/>
          </w:tcPr>
          <w:p w14:paraId="3F1088C7" w14:textId="77777777" w:rsidR="00B2067C" w:rsidRDefault="00000000">
            <w:pPr>
              <w:pStyle w:val="a3"/>
              <w:spacing w:line="240" w:lineRule="exact"/>
              <w:ind w:right="4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二乙基己基磺基琥珀酸酯单钠盐</w:t>
            </w:r>
          </w:p>
        </w:tc>
        <w:tc>
          <w:tcPr>
            <w:tcW w:w="1956" w:type="dxa"/>
          </w:tcPr>
          <w:p w14:paraId="785BFED9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62.6</w:t>
            </w:r>
          </w:p>
        </w:tc>
        <w:tc>
          <w:tcPr>
            <w:tcW w:w="1941" w:type="dxa"/>
          </w:tcPr>
          <w:p w14:paraId="7C4CD2C0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62.5</w:t>
            </w:r>
          </w:p>
        </w:tc>
        <w:tc>
          <w:tcPr>
            <w:tcW w:w="1795" w:type="dxa"/>
          </w:tcPr>
          <w:p w14:paraId="2A3DFCC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62.6</w:t>
            </w:r>
          </w:p>
        </w:tc>
      </w:tr>
      <w:tr w:rsidR="00B2067C" w14:paraId="2642F271" w14:textId="77777777">
        <w:trPr>
          <w:jc w:val="center"/>
        </w:trPr>
        <w:tc>
          <w:tcPr>
            <w:tcW w:w="2292" w:type="dxa"/>
          </w:tcPr>
          <w:p w14:paraId="36FB3350" w14:textId="77777777" w:rsidR="00B2067C" w:rsidRDefault="00000000">
            <w:pPr>
              <w:pStyle w:val="a3"/>
              <w:spacing w:line="240" w:lineRule="exact"/>
              <w:ind w:right="4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月桂醇醚磺基琥珀酸单酯二钠盐</w:t>
            </w:r>
          </w:p>
        </w:tc>
        <w:tc>
          <w:tcPr>
            <w:tcW w:w="1956" w:type="dxa"/>
          </w:tcPr>
          <w:p w14:paraId="5DEC6159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11.6</w:t>
            </w:r>
          </w:p>
        </w:tc>
        <w:tc>
          <w:tcPr>
            <w:tcW w:w="1941" w:type="dxa"/>
          </w:tcPr>
          <w:p w14:paraId="505F72A4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11.6</w:t>
            </w:r>
          </w:p>
        </w:tc>
        <w:tc>
          <w:tcPr>
            <w:tcW w:w="1795" w:type="dxa"/>
          </w:tcPr>
          <w:p w14:paraId="78BDD93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11.6</w:t>
            </w:r>
          </w:p>
        </w:tc>
      </w:tr>
    </w:tbl>
    <w:p w14:paraId="715B9C69" w14:textId="77777777" w:rsidR="00B2067C" w:rsidRDefault="00B2067C">
      <w:pPr>
        <w:pStyle w:val="a3"/>
        <w:spacing w:line="360" w:lineRule="auto"/>
        <w:ind w:right="47"/>
        <w:jc w:val="center"/>
        <w:rPr>
          <w:rFonts w:ascii="Times New Roman" w:hAnsi="Times New Roman" w:cs="Times New Roman"/>
        </w:rPr>
      </w:pPr>
    </w:p>
    <w:p w14:paraId="628C4D4C" w14:textId="77777777" w:rsidR="00B2067C" w:rsidRDefault="00000000">
      <w:pPr>
        <w:pStyle w:val="a3"/>
        <w:spacing w:line="360" w:lineRule="auto"/>
        <w:ind w:right="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表</w:t>
      </w:r>
      <w:r>
        <w:rPr>
          <w:rFonts w:ascii="Times New Roman" w:hAnsi="Times New Roman" w:cs="Times New Roman" w:hint="eastAsia"/>
          <w:lang w:val="en-US"/>
        </w:rPr>
        <w:t>2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lang w:val="en-US"/>
        </w:rPr>
        <w:t>不可水解阴离子活性物含量</w:t>
      </w:r>
      <w:r>
        <w:rPr>
          <w:rFonts w:ascii="Times New Roman" w:hAnsi="Times New Roman" w:cs="Times New Roman" w:hint="eastAsia"/>
        </w:rPr>
        <w:t>测定数据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170"/>
        <w:gridCol w:w="1956"/>
        <w:gridCol w:w="1956"/>
        <w:gridCol w:w="1794"/>
      </w:tblGrid>
      <w:tr w:rsidR="00B2067C" w14:paraId="308820C9" w14:textId="77777777">
        <w:trPr>
          <w:trHeight w:val="355"/>
          <w:jc w:val="center"/>
        </w:trPr>
        <w:tc>
          <w:tcPr>
            <w:tcW w:w="2170" w:type="dxa"/>
          </w:tcPr>
          <w:p w14:paraId="3B7E3ED7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样品</w:t>
            </w:r>
          </w:p>
        </w:tc>
        <w:tc>
          <w:tcPr>
            <w:tcW w:w="1956" w:type="dxa"/>
          </w:tcPr>
          <w:p w14:paraId="753D9CF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测试结果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  <w:vertAlign w:val="subscript"/>
              </w:rPr>
              <w:t>1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956" w:type="dxa"/>
          </w:tcPr>
          <w:p w14:paraId="57BB87E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测试结果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  <w:vertAlign w:val="subscript"/>
              </w:rPr>
              <w:t>2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794" w:type="dxa"/>
          </w:tcPr>
          <w:p w14:paraId="505A3AA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平均值</w:t>
            </w:r>
            <w:r>
              <w:rPr>
                <w:rFonts w:ascii="Times New Roman" w:hAnsi="Times New Roman" w:cs="Times New Roman" w:hint="eastAsia"/>
                <w:i/>
                <w:iCs/>
              </w:rPr>
              <w:t>X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 w:hint="eastAsia"/>
              </w:rPr>
              <w:t>%</w:t>
            </w:r>
            <w:r>
              <w:rPr>
                <w:rFonts w:ascii="Times New Roman" w:hAnsi="Times New Roman" w:cs="Times New Roman" w:hint="eastAsia"/>
              </w:rPr>
              <w:t>）</w:t>
            </w:r>
          </w:p>
        </w:tc>
      </w:tr>
      <w:tr w:rsidR="00B2067C" w14:paraId="7B0F3C02" w14:textId="77777777">
        <w:trPr>
          <w:jc w:val="center"/>
        </w:trPr>
        <w:tc>
          <w:tcPr>
            <w:tcW w:w="2170" w:type="dxa"/>
          </w:tcPr>
          <w:p w14:paraId="715E80E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洗衣粉</w:t>
            </w:r>
          </w:p>
        </w:tc>
        <w:tc>
          <w:tcPr>
            <w:tcW w:w="1956" w:type="dxa"/>
          </w:tcPr>
          <w:p w14:paraId="51832AFA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5.8</w:t>
            </w:r>
          </w:p>
        </w:tc>
        <w:tc>
          <w:tcPr>
            <w:tcW w:w="1956" w:type="dxa"/>
          </w:tcPr>
          <w:p w14:paraId="3014A0B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5.8</w:t>
            </w:r>
          </w:p>
        </w:tc>
        <w:tc>
          <w:tcPr>
            <w:tcW w:w="1794" w:type="dxa"/>
          </w:tcPr>
          <w:p w14:paraId="226796C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5.8</w:t>
            </w:r>
          </w:p>
        </w:tc>
      </w:tr>
      <w:tr w:rsidR="00B2067C" w14:paraId="29E559D0" w14:textId="77777777">
        <w:trPr>
          <w:jc w:val="center"/>
        </w:trPr>
        <w:tc>
          <w:tcPr>
            <w:tcW w:w="2170" w:type="dxa"/>
          </w:tcPr>
          <w:p w14:paraId="127E0706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α-烯基磺酸钠（1）</w:t>
            </w:r>
          </w:p>
        </w:tc>
        <w:tc>
          <w:tcPr>
            <w:tcW w:w="1956" w:type="dxa"/>
          </w:tcPr>
          <w:p w14:paraId="07E0330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36.0</w:t>
            </w:r>
          </w:p>
        </w:tc>
        <w:tc>
          <w:tcPr>
            <w:tcW w:w="1956" w:type="dxa"/>
          </w:tcPr>
          <w:p w14:paraId="3F12F9D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36.1</w:t>
            </w:r>
          </w:p>
        </w:tc>
        <w:tc>
          <w:tcPr>
            <w:tcW w:w="1794" w:type="dxa"/>
          </w:tcPr>
          <w:p w14:paraId="5608C7C9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36.0</w:t>
            </w:r>
          </w:p>
        </w:tc>
      </w:tr>
      <w:tr w:rsidR="00B2067C" w14:paraId="5D03EB43" w14:textId="77777777">
        <w:trPr>
          <w:jc w:val="center"/>
        </w:trPr>
        <w:tc>
          <w:tcPr>
            <w:tcW w:w="2170" w:type="dxa"/>
          </w:tcPr>
          <w:p w14:paraId="5EB35AB3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/>
              </w:rPr>
              <w:t>α-烯基磺酸钠（2）</w:t>
            </w:r>
          </w:p>
        </w:tc>
        <w:tc>
          <w:tcPr>
            <w:tcW w:w="1956" w:type="dxa"/>
          </w:tcPr>
          <w:p w14:paraId="21AB7293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96.9</w:t>
            </w:r>
          </w:p>
        </w:tc>
        <w:tc>
          <w:tcPr>
            <w:tcW w:w="1956" w:type="dxa"/>
          </w:tcPr>
          <w:p w14:paraId="49573A4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97.3</w:t>
            </w:r>
          </w:p>
        </w:tc>
        <w:tc>
          <w:tcPr>
            <w:tcW w:w="1794" w:type="dxa"/>
          </w:tcPr>
          <w:p w14:paraId="3264B86D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97.1</w:t>
            </w:r>
          </w:p>
        </w:tc>
      </w:tr>
      <w:tr w:rsidR="00B2067C" w14:paraId="05C13CC4" w14:textId="77777777">
        <w:trPr>
          <w:jc w:val="center"/>
        </w:trPr>
        <w:tc>
          <w:tcPr>
            <w:tcW w:w="2170" w:type="dxa"/>
          </w:tcPr>
          <w:p w14:paraId="7A6555FC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乙氧基化烷基硫酸钠</w:t>
            </w:r>
          </w:p>
        </w:tc>
        <w:tc>
          <w:tcPr>
            <w:tcW w:w="1956" w:type="dxa"/>
          </w:tcPr>
          <w:p w14:paraId="1CA08CED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71.1</w:t>
            </w:r>
          </w:p>
        </w:tc>
        <w:tc>
          <w:tcPr>
            <w:tcW w:w="1956" w:type="dxa"/>
          </w:tcPr>
          <w:p w14:paraId="564B149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71.2</w:t>
            </w:r>
          </w:p>
        </w:tc>
        <w:tc>
          <w:tcPr>
            <w:tcW w:w="1794" w:type="dxa"/>
          </w:tcPr>
          <w:p w14:paraId="1962FE44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71.2</w:t>
            </w:r>
          </w:p>
        </w:tc>
      </w:tr>
      <w:tr w:rsidR="00B2067C" w14:paraId="087E9A77" w14:textId="77777777">
        <w:trPr>
          <w:jc w:val="center"/>
        </w:trPr>
        <w:tc>
          <w:tcPr>
            <w:tcW w:w="2170" w:type="dxa"/>
          </w:tcPr>
          <w:p w14:paraId="6144D84F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脂肪酸甲酯磺酸钠</w:t>
            </w:r>
          </w:p>
        </w:tc>
        <w:tc>
          <w:tcPr>
            <w:tcW w:w="1956" w:type="dxa"/>
          </w:tcPr>
          <w:p w14:paraId="292B35E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54.4</w:t>
            </w:r>
          </w:p>
        </w:tc>
        <w:tc>
          <w:tcPr>
            <w:tcW w:w="1956" w:type="dxa"/>
          </w:tcPr>
          <w:p w14:paraId="79BEB0C8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54.7</w:t>
            </w:r>
          </w:p>
        </w:tc>
        <w:tc>
          <w:tcPr>
            <w:tcW w:w="1794" w:type="dxa"/>
          </w:tcPr>
          <w:p w14:paraId="2390E3C4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54.6</w:t>
            </w:r>
          </w:p>
        </w:tc>
      </w:tr>
      <w:tr w:rsidR="00B2067C" w14:paraId="31A22806" w14:textId="77777777">
        <w:trPr>
          <w:jc w:val="center"/>
        </w:trPr>
        <w:tc>
          <w:tcPr>
            <w:tcW w:w="2170" w:type="dxa"/>
          </w:tcPr>
          <w:p w14:paraId="7BF88CE9" w14:textId="77777777" w:rsidR="00B2067C" w:rsidRDefault="00000000">
            <w:pPr>
              <w:pStyle w:val="a3"/>
              <w:spacing w:line="240" w:lineRule="exact"/>
              <w:ind w:right="4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二乙基己基磺基琥珀酸酯单钠盐</w:t>
            </w:r>
          </w:p>
        </w:tc>
        <w:tc>
          <w:tcPr>
            <w:tcW w:w="1956" w:type="dxa"/>
          </w:tcPr>
          <w:p w14:paraId="0942C401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56" w:type="dxa"/>
          </w:tcPr>
          <w:p w14:paraId="6166097E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4" w:type="dxa"/>
          </w:tcPr>
          <w:p w14:paraId="22870A48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  <w:tr w:rsidR="00B2067C" w14:paraId="2E879282" w14:textId="77777777">
        <w:trPr>
          <w:jc w:val="center"/>
        </w:trPr>
        <w:tc>
          <w:tcPr>
            <w:tcW w:w="2170" w:type="dxa"/>
          </w:tcPr>
          <w:p w14:paraId="34E64D0A" w14:textId="77777777" w:rsidR="00B2067C" w:rsidRDefault="00000000">
            <w:pPr>
              <w:pStyle w:val="a3"/>
              <w:spacing w:line="240" w:lineRule="exact"/>
              <w:ind w:right="4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月桂醇醚磺基琥珀酸单酯二钠盐</w:t>
            </w:r>
          </w:p>
        </w:tc>
        <w:tc>
          <w:tcPr>
            <w:tcW w:w="1956" w:type="dxa"/>
          </w:tcPr>
          <w:p w14:paraId="022650D4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956" w:type="dxa"/>
          </w:tcPr>
          <w:p w14:paraId="12F7807A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  <w:tc>
          <w:tcPr>
            <w:tcW w:w="1794" w:type="dxa"/>
          </w:tcPr>
          <w:p w14:paraId="3C088949" w14:textId="77777777" w:rsidR="00B2067C" w:rsidRDefault="00000000">
            <w:pPr>
              <w:pStyle w:val="a3"/>
              <w:spacing w:line="360" w:lineRule="auto"/>
              <w:ind w:right="4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 w:hint="eastAsia"/>
                <w:lang w:val="en-US"/>
              </w:rPr>
              <w:t>0.0</w:t>
            </w:r>
          </w:p>
        </w:tc>
      </w:tr>
    </w:tbl>
    <w:p w14:paraId="4C4C6784" w14:textId="77777777" w:rsidR="00B2067C" w:rsidRDefault="00000000">
      <w:pPr>
        <w:spacing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b/>
          <w:sz w:val="21"/>
        </w:rPr>
        <w:t>四、标准中如果涉及专利，应有明确的知识产权说明</w:t>
      </w:r>
    </w:p>
    <w:p w14:paraId="2A2C10EA" w14:textId="77777777" w:rsidR="00B2067C" w:rsidRDefault="00000000">
      <w:pPr>
        <w:spacing w:line="360" w:lineRule="auto"/>
        <w:ind w:left="142" w:right="47" w:firstLineChars="200" w:firstLine="420"/>
        <w:jc w:val="both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未涉及专利等知识产权问题。</w:t>
      </w:r>
      <w:r>
        <w:rPr>
          <w:rFonts w:ascii="Times New Roman" w:hAnsi="Times New Roman" w:cs="Times New Roman"/>
          <w:sz w:val="21"/>
        </w:rPr>
        <w:t xml:space="preserve"> </w:t>
      </w:r>
    </w:p>
    <w:p w14:paraId="7791B24D" w14:textId="77777777" w:rsidR="00B2067C" w:rsidRDefault="00000000">
      <w:pPr>
        <w:pStyle w:val="2"/>
        <w:spacing w:before="133"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五、产业化情况、推广应用论证和预期达到的经济效果等情况</w:t>
      </w:r>
    </w:p>
    <w:p w14:paraId="2B723740" w14:textId="77777777" w:rsidR="00B2067C" w:rsidRDefault="00000000">
      <w:pPr>
        <w:pStyle w:val="a3"/>
        <w:spacing w:before="101" w:line="360" w:lineRule="auto"/>
        <w:ind w:left="142" w:right="47" w:firstLineChars="200" w:firstLine="4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5"/>
        </w:rPr>
        <w:t>本标准在修订过程中做了市场商品的数据调研，力求产品质量和性能特性的有机结合，为该类产品的</w:t>
      </w:r>
      <w:r>
        <w:rPr>
          <w:rFonts w:ascii="Times New Roman" w:hAnsi="Times New Roman" w:cs="Times New Roman"/>
          <w:spacing w:val="-7"/>
        </w:rPr>
        <w:t>生产企业提供一个技术创新、转化、扩散的平台，进而达到引导产业技术进步的目的。本标准注重了产品</w:t>
      </w:r>
      <w:r>
        <w:rPr>
          <w:rFonts w:ascii="Times New Roman" w:hAnsi="Times New Roman" w:cs="Times New Roman"/>
          <w:spacing w:val="-5"/>
        </w:rPr>
        <w:t>对人体和环境的安全性；加强了与相关标准之间的一致性，以便于提高采标率。</w:t>
      </w:r>
      <w:r>
        <w:rPr>
          <w:rFonts w:ascii="Times New Roman" w:hAnsi="Times New Roman" w:cs="Times New Roman"/>
        </w:rPr>
        <w:t xml:space="preserve"> </w:t>
      </w:r>
    </w:p>
    <w:p w14:paraId="57BE4EB7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六、采用国际标准和国外先进标准情况</w:t>
      </w:r>
    </w:p>
    <w:p w14:paraId="3ADEB2B9" w14:textId="77777777" w:rsidR="00B2067C" w:rsidRDefault="00000000">
      <w:pPr>
        <w:pStyle w:val="a3"/>
        <w:spacing w:before="1" w:line="360" w:lineRule="auto"/>
        <w:ind w:left="142" w:right="47" w:firstLineChars="200" w:firstLine="4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pacing w:val="-6"/>
        </w:rPr>
        <w:t>国际标准</w:t>
      </w:r>
      <w:r>
        <w:rPr>
          <w:rFonts w:ascii="Times New Roman" w:hAnsi="Times New Roman" w:cs="Times New Roman" w:hint="eastAsia"/>
          <w:spacing w:val="-6"/>
        </w:rPr>
        <w:t xml:space="preserve">ISO </w:t>
      </w:r>
      <w:r>
        <w:rPr>
          <w:rFonts w:ascii="Times New Roman" w:hAnsi="Times New Roman" w:cs="Times New Roman" w:hint="eastAsia"/>
          <w:spacing w:val="-6"/>
          <w:lang w:val="en-US"/>
        </w:rPr>
        <w:t>2689</w:t>
      </w:r>
      <w:r>
        <w:rPr>
          <w:rFonts w:ascii="Times New Roman" w:hAnsi="Times New Roman" w:cs="Times New Roman" w:hint="eastAsia"/>
          <w:spacing w:val="-6"/>
        </w:rPr>
        <w:t>:197</w:t>
      </w:r>
      <w:r>
        <w:rPr>
          <w:rFonts w:ascii="Times New Roman" w:hAnsi="Times New Roman" w:cs="Times New Roman" w:hint="eastAsia"/>
          <w:spacing w:val="-6"/>
          <w:lang w:val="en-US"/>
        </w:rPr>
        <w:t>3</w:t>
      </w:r>
      <w:r>
        <w:rPr>
          <w:rFonts w:ascii="Times New Roman" w:hAnsi="Times New Roman" w:cs="Times New Roman" w:hint="eastAsia"/>
          <w:spacing w:val="-6"/>
        </w:rPr>
        <w:t>《</w:t>
      </w:r>
      <w:r>
        <w:rPr>
          <w:rFonts w:hint="eastAsia"/>
        </w:rPr>
        <w:t>表面活性剂和洗涤剂  在碱性条件下可水解的阴离子活性物  可水解和不可水解阴离子活性物的测定</w:t>
      </w:r>
      <w:r>
        <w:rPr>
          <w:rFonts w:ascii="Times New Roman" w:hAnsi="Times New Roman" w:cs="Times New Roman" w:hint="eastAsia"/>
          <w:spacing w:val="-6"/>
        </w:rPr>
        <w:t>》被修改采用为</w:t>
      </w:r>
      <w:r>
        <w:rPr>
          <w:rFonts w:ascii="Times New Roman" w:hAnsi="Times New Roman" w:cs="Times New Roman" w:hint="eastAsia"/>
          <w:spacing w:val="-6"/>
        </w:rPr>
        <w:t xml:space="preserve">GB/T </w:t>
      </w:r>
      <w:r>
        <w:rPr>
          <w:rFonts w:ascii="Times New Roman" w:hAnsi="Times New Roman" w:cs="Times New Roman" w:hint="eastAsia"/>
          <w:spacing w:val="-6"/>
          <w:lang w:val="en-US"/>
        </w:rPr>
        <w:t>20198</w:t>
      </w:r>
      <w:r>
        <w:rPr>
          <w:rFonts w:ascii="Times New Roman" w:hAnsi="Times New Roman" w:cs="Times New Roman" w:hint="eastAsia"/>
          <w:spacing w:val="-6"/>
        </w:rPr>
        <w:t>-</w:t>
      </w:r>
      <w:r>
        <w:rPr>
          <w:rFonts w:ascii="Times New Roman" w:hAnsi="Times New Roman" w:cs="Times New Roman" w:hint="eastAsia"/>
          <w:spacing w:val="-6"/>
          <w:lang w:val="en-US"/>
        </w:rPr>
        <w:t>2006</w:t>
      </w:r>
      <w:r>
        <w:rPr>
          <w:rFonts w:ascii="Times New Roman" w:hAnsi="Times New Roman" w:cs="Times New Roman" w:hint="eastAsia"/>
          <w:spacing w:val="-6"/>
        </w:rPr>
        <w:t>《</w:t>
      </w:r>
      <w:r>
        <w:rPr>
          <w:rFonts w:hint="eastAsia"/>
        </w:rPr>
        <w:t>表面活性剂和洗涤剂  在碱性条件下可水解的阴离子活性物  可水解和不可水解阴离子活性物的测定</w:t>
      </w:r>
      <w:r>
        <w:rPr>
          <w:rFonts w:ascii="Times New Roman" w:hAnsi="Times New Roman" w:cs="Times New Roman" w:hint="eastAsia"/>
          <w:spacing w:val="-6"/>
        </w:rPr>
        <w:t>》，属表面活性剂基础通用类方法标准。</w:t>
      </w:r>
      <w:r>
        <w:rPr>
          <w:rFonts w:ascii="Times New Roman" w:hAnsi="Times New Roman" w:cs="Times New Roman"/>
        </w:rPr>
        <w:t xml:space="preserve"> </w:t>
      </w:r>
    </w:p>
    <w:p w14:paraId="0C7B40CC" w14:textId="77777777" w:rsidR="00B2067C" w:rsidRDefault="00000000">
      <w:pPr>
        <w:pStyle w:val="2"/>
        <w:spacing w:before="60" w:line="360" w:lineRule="auto"/>
        <w:ind w:leftChars="64" w:left="141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七、与现行相关法律、法规、规章及相关标准，特别是强制性标准的协调性</w:t>
      </w:r>
    </w:p>
    <w:p w14:paraId="6F718090" w14:textId="77777777" w:rsidR="00B2067C" w:rsidRDefault="00000000">
      <w:pPr>
        <w:pStyle w:val="a3"/>
        <w:spacing w:before="100" w:line="360" w:lineRule="auto"/>
        <w:ind w:left="142" w:right="47" w:firstLineChars="200" w:firstLine="4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与</w:t>
      </w:r>
      <w:r>
        <w:rPr>
          <w:rFonts w:ascii="Times New Roman" w:hAnsi="Times New Roman" w:cs="Times New Roman" w:hint="eastAsia"/>
          <w:spacing w:val="-6"/>
        </w:rPr>
        <w:t>表面活性剂</w:t>
      </w:r>
      <w:r>
        <w:rPr>
          <w:rFonts w:ascii="Times New Roman" w:hAnsi="Times New Roman" w:cs="Times New Roman"/>
          <w:spacing w:val="-6"/>
        </w:rPr>
        <w:t>行业相关法律法规、规章协调一致，未发生冲突，与国家卫生部门技术规范及国家食品安全</w:t>
      </w:r>
      <w:r>
        <w:rPr>
          <w:rFonts w:ascii="Times New Roman" w:hAnsi="Times New Roman" w:cs="Times New Roman"/>
          <w:spacing w:val="-4"/>
        </w:rPr>
        <w:t>相关标准协调一致。</w:t>
      </w:r>
      <w:r>
        <w:rPr>
          <w:rFonts w:ascii="Times New Roman" w:hAnsi="Times New Roman" w:cs="Times New Roman"/>
        </w:rPr>
        <w:t xml:space="preserve"> </w:t>
      </w:r>
    </w:p>
    <w:p w14:paraId="705E05D4" w14:textId="77777777" w:rsidR="00B2067C" w:rsidRDefault="00000000">
      <w:pPr>
        <w:spacing w:before="97" w:line="360" w:lineRule="auto"/>
        <w:ind w:left="142" w:right="47"/>
        <w:jc w:val="both"/>
        <w:rPr>
          <w:rFonts w:ascii="Times New Roman" w:hAnsi="Times New Roman" w:cs="Times New Roman"/>
          <w:b/>
          <w:sz w:val="21"/>
        </w:rPr>
      </w:pPr>
      <w:r>
        <w:rPr>
          <w:rFonts w:ascii="Times New Roman" w:hAnsi="Times New Roman" w:cs="Times New Roman"/>
          <w:b/>
          <w:sz w:val="21"/>
        </w:rPr>
        <w:t>八、重大分歧意见的处理经过和依据</w:t>
      </w:r>
    </w:p>
    <w:p w14:paraId="6212770C" w14:textId="77777777" w:rsidR="00B2067C" w:rsidRDefault="00000000">
      <w:pPr>
        <w:spacing w:before="97" w:line="360" w:lineRule="auto"/>
        <w:ind w:left="142" w:right="47" w:firstLineChars="200" w:firstLine="420"/>
        <w:jc w:val="both"/>
        <w:rPr>
          <w:rFonts w:ascii="Times New Roman" w:hAnsi="Times New Roman" w:cs="Times New Roman"/>
          <w:sz w:val="21"/>
        </w:rPr>
      </w:pPr>
      <w:r>
        <w:rPr>
          <w:rFonts w:ascii="Times New Roman" w:hAnsi="Times New Roman" w:cs="Times New Roman"/>
          <w:sz w:val="21"/>
        </w:rPr>
        <w:t>无重大分歧意见。</w:t>
      </w:r>
      <w:r>
        <w:rPr>
          <w:rFonts w:ascii="Times New Roman" w:hAnsi="Times New Roman" w:cs="Times New Roman"/>
          <w:sz w:val="21"/>
        </w:rPr>
        <w:t xml:space="preserve"> </w:t>
      </w:r>
    </w:p>
    <w:p w14:paraId="796DE9E3" w14:textId="77777777" w:rsidR="00B2067C" w:rsidRDefault="00000000">
      <w:pPr>
        <w:pStyle w:val="2"/>
        <w:spacing w:before="138"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九、标准性质的建议说明</w:t>
      </w:r>
    </w:p>
    <w:p w14:paraId="08B2A433" w14:textId="77777777" w:rsidR="00B2067C" w:rsidRDefault="00000000">
      <w:pPr>
        <w:pStyle w:val="a3"/>
        <w:spacing w:before="101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标准性质是国家推荐性标准。</w:t>
      </w:r>
      <w:r>
        <w:rPr>
          <w:rFonts w:ascii="Times New Roman" w:hAnsi="Times New Roman" w:cs="Times New Roman"/>
        </w:rPr>
        <w:t xml:space="preserve"> </w:t>
      </w:r>
    </w:p>
    <w:p w14:paraId="48520062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十、贯彻标准的要求和措施建议</w:t>
      </w:r>
    </w:p>
    <w:p w14:paraId="0CE590DD" w14:textId="77777777" w:rsidR="00B2067C" w:rsidRDefault="00000000">
      <w:pPr>
        <w:pStyle w:val="a3"/>
        <w:spacing w:before="100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建议本标准批准发布</w:t>
      </w:r>
      <w:r>
        <w:rPr>
          <w:rFonts w:ascii="Times New Roman" w:hAnsi="Times New Roman" w:cs="Times New Roman"/>
        </w:rPr>
        <w:t xml:space="preserve"> 6 </w:t>
      </w:r>
      <w:r>
        <w:rPr>
          <w:rFonts w:ascii="Times New Roman" w:hAnsi="Times New Roman" w:cs="Times New Roman"/>
        </w:rPr>
        <w:t>个月后实施。</w:t>
      </w:r>
      <w:r>
        <w:rPr>
          <w:rFonts w:ascii="Times New Roman" w:hAnsi="Times New Roman" w:cs="Times New Roman"/>
        </w:rPr>
        <w:t xml:space="preserve"> </w:t>
      </w:r>
    </w:p>
    <w:p w14:paraId="5DF318EB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十一、废止现行相关标准的建议</w:t>
      </w:r>
    </w:p>
    <w:p w14:paraId="520FD6C5" w14:textId="77777777" w:rsidR="00B2067C" w:rsidRDefault="00000000">
      <w:pPr>
        <w:pStyle w:val="a3"/>
        <w:spacing w:before="100" w:line="360" w:lineRule="auto"/>
        <w:ind w:left="142" w:right="47" w:firstLineChars="20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本标准发布实施后，代替</w:t>
      </w:r>
      <w:r>
        <w:rPr>
          <w:rFonts w:ascii="Times New Roman" w:hAnsi="Times New Roman" w:cs="Times New Roman"/>
        </w:rPr>
        <w:t xml:space="preserve"> GB/T </w:t>
      </w:r>
      <w:r>
        <w:rPr>
          <w:rFonts w:ascii="Times New Roman" w:hAnsi="Times New Roman" w:cs="Times New Roman" w:hint="eastAsia"/>
          <w:lang w:val="en-US"/>
        </w:rPr>
        <w:t>20198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  <w:lang w:val="en-US"/>
        </w:rPr>
        <w:t>2006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14:paraId="44AF36E2" w14:textId="77777777" w:rsidR="00B2067C" w:rsidRDefault="00000000">
      <w:pPr>
        <w:pStyle w:val="2"/>
        <w:spacing w:line="360" w:lineRule="auto"/>
        <w:ind w:left="142" w:right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十二、其它应予说明的事项</w:t>
      </w:r>
    </w:p>
    <w:p w14:paraId="10D9447C" w14:textId="0B1E7E1D" w:rsidR="00B2067C" w:rsidRDefault="00000000">
      <w:pPr>
        <w:pStyle w:val="a3"/>
        <w:spacing w:line="360" w:lineRule="auto"/>
        <w:ind w:left="142" w:right="47" w:firstLineChars="200" w:firstLine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无</w:t>
      </w:r>
      <w:r w:rsidR="006212E4">
        <w:rPr>
          <w:rFonts w:ascii="Times New Roman" w:hAnsi="Times New Roman" w:cs="Times New Roman" w:hint="eastAsia"/>
          <w:spacing w:val="-3"/>
        </w:rPr>
        <w:t>。</w:t>
      </w:r>
    </w:p>
    <w:sectPr w:rsidR="00B2067C">
      <w:footerReference w:type="default" r:id="rId7"/>
      <w:pgSz w:w="11910" w:h="16840"/>
      <w:pgMar w:top="1440" w:right="920" w:bottom="840" w:left="1020" w:header="0" w:footer="6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2A29" w14:textId="77777777" w:rsidR="008C0775" w:rsidRDefault="008C0775">
      <w:pPr>
        <w:rPr>
          <w:rFonts w:hint="eastAsia"/>
        </w:rPr>
      </w:pPr>
      <w:r>
        <w:separator/>
      </w:r>
    </w:p>
  </w:endnote>
  <w:endnote w:type="continuationSeparator" w:id="0">
    <w:p w14:paraId="16133CF0" w14:textId="77777777" w:rsidR="008C0775" w:rsidRDefault="008C077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4785" w14:textId="77777777" w:rsidR="00B2067C" w:rsidRDefault="00000000">
    <w:pPr>
      <w:pStyle w:val="a3"/>
      <w:spacing w:line="14" w:lineRule="auto"/>
      <w:rPr>
        <w:rFonts w:hint="eastAsia"/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59A3F7" wp14:editId="1FF403DD">
              <wp:simplePos x="0" y="0"/>
              <wp:positionH relativeFrom="page">
                <wp:posOffset>3725545</wp:posOffset>
              </wp:positionH>
              <wp:positionV relativeFrom="page">
                <wp:posOffset>10134600</wp:posOffset>
              </wp:positionV>
              <wp:extent cx="107950" cy="1524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44FF0D" w14:textId="77777777" w:rsidR="00B2067C" w:rsidRDefault="00000000">
                          <w:pPr>
                            <w:spacing w:before="12"/>
                            <w:ind w:left="40"/>
                            <w:rPr>
                              <w:rFonts w:ascii="Times New Roman" w:hint="eastAsia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left:293.35pt;margin-top:798pt;height:12pt;width:8.5pt;mso-position-horizontal-relative:page;mso-position-vertical-relative:page;z-index:-251657216;mso-width-relative:page;mso-height-relative:page;" filled="f" stroked="f" coordsize="21600,21600" o:gfxdata="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A97D2q1gAAAA0BAAAPAAAAAAAAAAEAIAAAADgAAABk&#10;cnMvZG93bnJldi54bWxQSwECFAAUAAAACACHTuJArDrk67kBAABxAwAADgAAAAAAAAABACAAAAA7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/>
                      <w:rPr>
                        <w:rFonts w:hint="eastAsia"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08" w14:textId="77777777" w:rsidR="008C0775" w:rsidRDefault="008C0775">
      <w:pPr>
        <w:rPr>
          <w:rFonts w:hint="eastAsia"/>
        </w:rPr>
      </w:pPr>
      <w:r>
        <w:separator/>
      </w:r>
    </w:p>
  </w:footnote>
  <w:footnote w:type="continuationSeparator" w:id="0">
    <w:p w14:paraId="433C2853" w14:textId="77777777" w:rsidR="008C0775" w:rsidRDefault="008C077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422"/>
    <w:rsid w:val="A7F71AE8"/>
    <w:rsid w:val="BF4F8090"/>
    <w:rsid w:val="DEFF6A0A"/>
    <w:rsid w:val="FDFFCBDC"/>
    <w:rsid w:val="00005C7C"/>
    <w:rsid w:val="000263F3"/>
    <w:rsid w:val="00052007"/>
    <w:rsid w:val="00094142"/>
    <w:rsid w:val="00245904"/>
    <w:rsid w:val="002C36F6"/>
    <w:rsid w:val="002E5682"/>
    <w:rsid w:val="0030213B"/>
    <w:rsid w:val="00356859"/>
    <w:rsid w:val="00475256"/>
    <w:rsid w:val="00515969"/>
    <w:rsid w:val="00527BE5"/>
    <w:rsid w:val="0054649E"/>
    <w:rsid w:val="005761E4"/>
    <w:rsid w:val="00581304"/>
    <w:rsid w:val="006212E4"/>
    <w:rsid w:val="006B3E65"/>
    <w:rsid w:val="006C724E"/>
    <w:rsid w:val="007B117F"/>
    <w:rsid w:val="007D0BE5"/>
    <w:rsid w:val="007D1422"/>
    <w:rsid w:val="00826756"/>
    <w:rsid w:val="0088330C"/>
    <w:rsid w:val="0088367D"/>
    <w:rsid w:val="008C0775"/>
    <w:rsid w:val="0097767C"/>
    <w:rsid w:val="009B6B0F"/>
    <w:rsid w:val="00A12760"/>
    <w:rsid w:val="00B2067C"/>
    <w:rsid w:val="00B37627"/>
    <w:rsid w:val="00BA7AED"/>
    <w:rsid w:val="00C86065"/>
    <w:rsid w:val="00E6209A"/>
    <w:rsid w:val="00EB4F7B"/>
    <w:rsid w:val="00EC5487"/>
    <w:rsid w:val="00F23170"/>
    <w:rsid w:val="00F31A18"/>
    <w:rsid w:val="00FA093B"/>
    <w:rsid w:val="00FA2E31"/>
    <w:rsid w:val="5EFF11B4"/>
    <w:rsid w:val="777F1E49"/>
    <w:rsid w:val="7BFF11AB"/>
    <w:rsid w:val="7DE6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2A481E"/>
  <w15:docId w15:val="{A6ECCA5C-3F30-45EF-B50E-7435A40F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uiPriority w:val="9"/>
    <w:qFormat/>
    <w:pPr>
      <w:spacing w:before="27"/>
      <w:ind w:left="585" w:right="687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113"/>
      <w:outlineLvl w:val="1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qFormat/>
    <w:rPr>
      <w:rFonts w:ascii="Times New Roman" w:eastAsia="宋体" w:hAnsi="Times New Roman"/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页眉 字符"/>
    <w:basedOn w:val="a0"/>
    <w:link w:val="a6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character" w:customStyle="1" w:styleId="a5">
    <w:name w:val="页脚 字符"/>
    <w:basedOn w:val="a0"/>
    <w:link w:val="a4"/>
    <w:uiPriority w:val="99"/>
    <w:qFormat/>
    <w:rPr>
      <w:rFonts w:ascii="宋体" w:eastAsia="宋体" w:hAnsi="宋体" w:cs="宋体"/>
      <w:sz w:val="18"/>
      <w:szCs w:val="18"/>
      <w:lang w:val="zh-CN" w:eastAsia="zh-CN" w:bidi="zh-CN"/>
    </w:rPr>
  </w:style>
  <w:style w:type="paragraph" w:customStyle="1" w:styleId="ab">
    <w:name w:val="标准书脚_奇数页"/>
    <w:qFormat/>
    <w:pPr>
      <w:spacing w:before="120"/>
      <w:jc w:val="right"/>
    </w:pPr>
    <w:rPr>
      <w:rFonts w:ascii="Times New Roman" w:eastAsia="宋体" w:hAnsi="Times New Roman" w:cs="Times New Roman"/>
      <w:sz w:val="18"/>
    </w:rPr>
  </w:style>
  <w:style w:type="paragraph" w:customStyle="1" w:styleId="ac">
    <w:name w:val="标准书脚_偶数页"/>
    <w:qFormat/>
    <w:pPr>
      <w:spacing w:before="120"/>
    </w:pPr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783</Words>
  <Characters>886</Characters>
  <Application>Microsoft Office Word</Application>
  <DocSecurity>0</DocSecurity>
  <Lines>73</Lines>
  <Paragraphs>111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晓辉 李</cp:lastModifiedBy>
  <cp:revision>3</cp:revision>
  <dcterms:created xsi:type="dcterms:W3CDTF">2025-03-20T09:32:00Z</dcterms:created>
  <dcterms:modified xsi:type="dcterms:W3CDTF">2025-03-28T09:18:00Z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LastSaved">
    <vt:filetime>2025-02-12T00:00:00Z</vt:filetime>
  </property>
  <property fmtid="{D5CDD505-2E9C-101B-9397-08002B2CF9AE}" pid="4" name="KSOProductBuildVer">
    <vt:lpwstr>2052-6.5.2.8766</vt:lpwstr>
  </property>
  <property fmtid="{D5CDD505-2E9C-101B-9397-08002B2CF9AE}" pid="5" name="ICV">
    <vt:lpwstr>2202A2124EEC444C0CE3B6679125ACD5_42</vt:lpwstr>
  </property>
</Properties>
</file>